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C65B43">
        <w:rPr>
          <w:rFonts w:ascii="Verdana" w:hAnsi="Verdana" w:cs="Arial"/>
        </w:rPr>
        <w:t>6866</w:t>
      </w:r>
      <w:r w:rsidR="001318E1" w:rsidRPr="00C65B43">
        <w:rPr>
          <w:rFonts w:ascii="Verdana" w:hAnsi="Verdana" w:cs="Arial"/>
        </w:rPr>
        <w:t>/</w:t>
      </w:r>
      <w:r w:rsidR="00C65B43" w:rsidRPr="00C65B43">
        <w:rPr>
          <w:rFonts w:ascii="Verdana" w:hAnsi="Verdana" w:cs="Arial"/>
        </w:rPr>
        <w:t>16-05-2024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C65B43" w:rsidRPr="00C65B43">
        <w:rPr>
          <w:rFonts w:ascii="Verdana" w:hAnsi="Verdana"/>
          <w:b/>
          <w:sz w:val="20"/>
          <w:szCs w:val="20"/>
        </w:rPr>
        <w:t>6866/16-05-2024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 xml:space="preserve">με τηνμελέτη των υπηρεσιών του Δήμου. </w:t>
      </w:r>
      <w:bookmarkStart w:id="0" w:name="_GoBack"/>
      <w:bookmarkEnd w:id="0"/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7052" w:type="dxa"/>
        <w:tblInd w:w="48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"/>
        <w:gridCol w:w="3620"/>
        <w:gridCol w:w="758"/>
        <w:gridCol w:w="747"/>
        <w:gridCol w:w="667"/>
        <w:gridCol w:w="841"/>
      </w:tblGrid>
      <w:tr w:rsidR="005E55DE" w:rsidTr="005E55DE">
        <w:trPr>
          <w:trHeight w:val="129"/>
        </w:trPr>
        <w:tc>
          <w:tcPr>
            <w:tcW w:w="4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5E55DE" w:rsidRPr="005E55DE" w:rsidTr="005E55DE">
        <w:trPr>
          <w:trHeight w:val="116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ΟΜΑΔΑ Α` ΕΡΓΑΛΕΙΑ ΕΡΓΑΤΟΤΕΧΙΤΩΝ ΥΔΡΕΥΣΗΣ Κ.Α.25-7135.002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7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Μ.Μ.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Ποσότ.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Τ.Μ.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ΜΕΡΙΚΗ ΔΑΠΑΝΗ (ΕΥΡΩ)</w:t>
            </w: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ΣΕΤ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ΕΠΑΝΑΦΟΡΤΙΖΟΜΕΝΟ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DEWALT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ΓΩΝΙΑΚΟΣ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ΤΡΟΧΟΣ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+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ΔΡΑΠΑΝΟ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18WATT (5ah) dck 2080 2T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ΣΠΑΘΟΣΕΓΑ ΜΠΑΤΑΡΙΑΣ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DEWALT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18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V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XR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SOLO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DCS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380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ΚΡΟΥΣΤΙΚΟ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ΣΚΑΠΤΙΚΟ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ΜΠΑΤΑΡΙΑΣ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DEWALT 18V solo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με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SDS Plus (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κωδ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.21309291)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ΣΕΤ ΤΡΙΠΑΝΙΑ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SDS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Plus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 τεμαχίων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DEWALT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DT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60301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ΤΣΙΜΠΙΔΑ ΥΔΡΑΥΛΙΚΟΥ 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virax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(Σουηδικού τύπου με κλίση 90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</w:rPr>
              <w:t>ο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), 1 ½΄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ΤΕΜ.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ΤΣΙΜΠΙΔΑ ΥΔΡΑΥΛΙΚΟΥ 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virax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(Σουηδικού τύπου με κλίση  45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</w:rPr>
              <w:t>ο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), 1 ½΄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ΤΕΜ.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ΓΑΛΛΙΚΟ ΚΛΕΙΔΙ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virax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ΜΕΓΑΛΟΥ ΑΝΟΙΓΜΑΤΟΣ –ΜΕΓΑΛΕΣ ΣΙΑΓΟΝΕΣ 6 ΙΝΤΣΩΝ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ΤΕΜ.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KNIPEX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-ΣΕΤ-ΤΣΙΜΠΙΔΕΣ ΗΛΕΚΤΡΟΛΟΓΟΥ 1000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W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(ΠΕΝΣΑ-ΚΟΦΤΗΣ-ΜΥΤΟΤΣΙΜΠΙΔΟ) ΧΡΩΜΑ ΚΟΚΚΙΝΟ-ΚΙΤΡΙΝΟ ΚΩΔΙΚΟΣ002012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ΓΚΑΖΟΤΑΝΑΛΙΑ 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KNIPEX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ΜΕΓΑΛΟΥ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 xml:space="preserve">ΑΝΟΙΓΜΑΤΟΣ 180mm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ΑΠΟΓΥΜΝΩΤΗΣ ΚΑΛΩΔΙΩΝ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KNIPEX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130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mm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/08-28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mm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με λάμα κοπής και βίδα ρύθμισης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    1       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ΜΕΤΡΟΤΑΙΝΙΑ 7,5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m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χ25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ΣΕΤ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ΚΑΤΣΑΒΙΔΙΑ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KNIPEX VPE 6TEM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ΚΩΔ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002012VOI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ΑΝΤΛΙΑ ΑΚΑΘΑΡΤΩΝ -ΑΠΟΒΛΗΤΩΝ 1000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W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INOX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ΣΕΤ ΓΕΡΜΑΝΟΠΩΛΥΓΩΝΑ ΚΑΣΤΑΝΙΑΣ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TOTAL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8ΤΕΜ ΜΕ ΣΠΑΣΤΗ ΚΕΦΑΛΗ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ΣΕΤ ΚΑΣΕΤΙΝΑ ΚΑΡΥΔΑΚΙΑ ΠΟΛΥΓΩΝΑ ΜΕ ΚΑΣΤΑΝΙΑ 3/8’’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FORCE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24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TEM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. ΚΩΔ 3251-9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ΚΟΠΤΗΣ ΚΑΛΩΔΙΩΝ ΗΛΕΚΤΡΟΛΟΓΟΥ ΜΗΚΟΥΣ 200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mm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,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KNIPEX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ΠΙΣΤΟΛΗ ΘΕΡΜΟΥ ΑΕΡΑ 18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W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SOLO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DEWALT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ΜΕ ΡΥΜΙΣΗ ΘΕΡΜΟΚΡΑΣΙΑ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ΣΚΑΛΑ ΑΛΟΥΜΙΝΙΟΥ 7+1 ΣΚΑΛΟΠΑΤΙΑ ΜΕ ΙΜΑΝΤΑ ΑΣΦΑΛΕΙΑΣ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tabs>
                <w:tab w:val="left" w:pos="343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ΓΕΝΙΚΟ ΣΥΝΟΛΟ</w:t>
            </w:r>
          </w:p>
          <w:p w:rsidR="005E55DE" w:rsidRPr="005E55DE" w:rsidRDefault="005E55DE" w:rsidP="000074FC">
            <w:pPr>
              <w:tabs>
                <w:tab w:val="left" w:pos="343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 (24%)</w:t>
            </w:r>
          </w:p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ΣΥΝΟΛΙΚΗ ΔΑΠΑΝΗ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DE" w:rsidRPr="005E55DE" w:rsidRDefault="005E55DE" w:rsidP="005E55D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ΟΜΑΔΑ Β`  ΑΝΑΛΩΣΙΜΑ Κ.Α. 25-6699.001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7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Α</w:t>
            </w: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Μ</w:t>
            </w: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Ποσοτ</w:t>
            </w: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Τ</w:t>
            </w: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Μ</w:t>
            </w: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ΣΥΡΜΑΤΟΣΚΟΙΝΟ ΓΑΛΒΑΝΙΖΕ ΚΟΥΛΟΥΡΑ 100 μέτρων  5mm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ΜΕΤΑΛΛΙΚΑ ΒΥΣΜΑΤΑ ΜΠΙΧΤΑ 10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mmx120mm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10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ΜΕΤΑΛΛΙΚΑ ΒΥΣΜΑΤΑ ΜΠΙΧΤΑ 1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2mmx140mm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ΣΤΡΙΦΩΝΙ ΜΕΤΑΛΛΙΚΟ ΕΞΑΓΩΝΟ 10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mm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Χ120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ΔΙΣΚΑΚΙΑ ΛΕΠΤΗΣ ΚΟΠΗΣ (CD) 125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5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ΛΕΠΙΔΑ(ΑΝΤΑΛΑΚΤΙΚΟ ΓΙΑ ΠΛΑΣΤΙΚΟ ΚΑΙ 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ΣΙΔΗΡΟ) ΓΙΑ ΣΠΑΘΟΣΕΓΑ</w:t>
            </w:r>
          </w:p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Dewalt (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συσκευασία 5 τέμ) 230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mm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ΤΕΜ</w:t>
            </w:r>
          </w:p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             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5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ΛΕΠΙΔΑ(ΑΝΤΑΛΑΚΤΙΚΟ ΓΙΑ ΠΛΑΣΤΙΚΟ ΚΑΙ ΣΙΔΗΡΟ) ΓΙΑ ΣΠΑΘΟΣΕΓΑ</w:t>
            </w:r>
          </w:p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Dewalt (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συσκευασία 5 τέμ) 2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03mm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5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ΛΕΠΙΔΑ(ΑΝΤΑΛΑΚΤΙΚΟ ΓΙΑ ΠΛΑΣΤΙΚΟ ΚΑΙ ΣΙΔΗΡΟ) ΓΙΑ ΣΠΑΘΟΣΕΓΑ</w:t>
            </w:r>
          </w:p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Dewalt (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συσκευασία 5 τέμ) 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152mm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5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ΛΕΠΙΔΑ(ΑΝΤΑΛΑΚΤΙΚΟ ΓΙΑ ΠΛΑΣΤΙΚΟ ΚΑΙ ΣΙΔΗΡΟ) ΓΙΑ ΣΠΑΘΟΣΕΓΑ</w:t>
            </w:r>
          </w:p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Dewalt (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συσκευασία 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1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τέμ) 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305mm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23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ΣΧΟΙΝΙΑ ΠΛΕΚΤΑ ΤΥΠΟΥ ΟΡΕΙΒΑΣΙΑΣ  8 mm  πολυεστερικό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23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ΑΝΤΙΣΚΟΥΡΙΑΚΟ ΣΠΡΕΙ ΣΠΑΣΙΜΑΤΟΣ ΣΚΟΥΡΙΑΣ 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MORRIS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400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23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Loctitte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ΝΗΜΑ ΣΤΕΓΑΝΟΠΟΙΗΣΗΣ ΣΩΛΗΝΩΝ160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ΜΠΟΥΚΑΛΑ ΠΡΟΠΑΝΙΟΥ 400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gr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ΣΙΛΙΚΟΝΗ ΑΝΤΙΜΟΥΧΛΙΚΗ ΔΙΑΦΑΝΗ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ΔΙΣΚΟΣ ΛΥΑΝΣΕΩΣ ΦΤΕΡΟΥ 125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ΤΣΕΡΚΙ ΜΕΤΑΛΙΚΟ ΓΑΛΒΑΝΙΖΕ 10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ΛΙΝΑΡΙ ΥΔΡΑΥΒΛΙΚΩΝ (ΚΑΝΑΒΙ)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ΟΥΠΑ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HARD PLUST N.6 (KOYT. 100 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ΤΕΜΑΧΙΩΝ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ΚΟΥΤ.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ΟΥΠΑ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HARD PLUST N.10 (KOYT.  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50 ΤΕΜΑΧΙΩΝ)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ΚΟΥΤ.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ΟΥΠΑ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HARD PLUST N.0,12 (KOYT.  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25 ΤΕΜΑΧΙΩΝ)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ΚΟΥΤ.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ΦΤΥΑΡΙ ΚΥΡΤΟ ΟΙΚΟΔΟΜΙΚΟ ΜΕ ΤΟ ΣΤΥΛΙΑΡΙ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ΣΠΡΕΙ ΑΚΡΥΛΙΚΟ 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MORRIS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400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ml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ΧΡΩΜΑΤΟΣ (ΜΑΥΡΟ, ΠΡΑΣΙΝΟ, ΓΚΡΙ)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TEM.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ΘΕΡΜΟΣΥΣΤΕΛΛΟΜΕΝΟ ΚΑΛΩΔΙΟ 1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, ΜΕ ΕΣΩΤΕΡΙΚΗ ΚΟΛΛΑ ΚΑΙ ΒΑΘΜΟ ΣΥΡΡΙΚΝΩΣΗΣ 3:1 12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ΘΕΡΜΟΣΥΣΤΕΛΛΟΜΕΝΟ ΚΑΛΩΔΙΟ 1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, ΜΕ ΕΣΩΤΕΡΙΚΗ ΚΟΛΛΑ ΚΑΙ ΒΑΘΜΟ ΣΥΡΡΙΚΝΩΣΗΣ 3:1 9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TEM.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5E55DE" w:rsidRPr="005E55DE" w:rsidRDefault="005E55DE" w:rsidP="000074FC">
            <w:pPr>
              <w:jc w:val="right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ΘΕΡΜΟΣΥΣΤΕΛΛΟΜΕΝΟ ΚΑΛΩΔΙΟ 1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</w:rPr>
              <w:t>, ΜΕ ΕΣΩΤΕΡΙΚΗ ΚΟΛΛΑ ΚΑΙ ΒΑΘΜΟ ΣΥΡΡΙΚΝΩΣΗΣ 3:1 6</w:t>
            </w: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5E55D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tabs>
                <w:tab w:val="left" w:pos="343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ΓΕΝΙΚΟ ΣΥΝΟΛΟ</w:t>
            </w:r>
          </w:p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5E55DE" w:rsidRPr="005E55DE" w:rsidTr="005E55DE">
        <w:trPr>
          <w:trHeight w:val="1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tabs>
                <w:tab w:val="left" w:pos="343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5E55DE" w:rsidRPr="005E55DE" w:rsidRDefault="005E55DE" w:rsidP="000074FC">
            <w:pPr>
              <w:tabs>
                <w:tab w:val="left" w:pos="343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 (24%)</w:t>
            </w:r>
          </w:p>
          <w:p w:rsidR="005E55DE" w:rsidRPr="005E55DE" w:rsidRDefault="005E55DE" w:rsidP="000074F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E55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ΣΥΝΟΛΙΚΗ ΔΑΠΑΝΗ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E" w:rsidRPr="005E55DE" w:rsidRDefault="005E55DE" w:rsidP="000074F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76660" w:rsidRPr="005E55DE" w:rsidRDefault="00A76660" w:rsidP="00270290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A76660" w:rsidRPr="005E55DE" w:rsidRDefault="00A76660" w:rsidP="00270290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7"/>
      <w:footerReference w:type="even" r:id="rId8"/>
      <w:footerReference w:type="default" r:id="rId9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50" w:rsidRDefault="00452D50" w:rsidP="00A32329">
      <w:pPr>
        <w:spacing w:after="0" w:line="240" w:lineRule="auto"/>
      </w:pPr>
      <w:r>
        <w:separator/>
      </w:r>
    </w:p>
  </w:endnote>
  <w:endnote w:type="continuationSeparator" w:id="0">
    <w:p w:rsidR="00452D50" w:rsidRDefault="00452D50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393030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7F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393030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7F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B43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50" w:rsidRDefault="00452D50" w:rsidP="00A32329">
      <w:pPr>
        <w:spacing w:after="0" w:line="240" w:lineRule="auto"/>
      </w:pPr>
      <w:r>
        <w:separator/>
      </w:r>
    </w:p>
  </w:footnote>
  <w:footnote w:type="continuationSeparator" w:id="0">
    <w:p w:rsidR="00452D50" w:rsidRDefault="00452D50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318E1"/>
    <w:rsid w:val="0014172F"/>
    <w:rsid w:val="001D6F21"/>
    <w:rsid w:val="0022759C"/>
    <w:rsid w:val="00270290"/>
    <w:rsid w:val="002E0477"/>
    <w:rsid w:val="00393030"/>
    <w:rsid w:val="00447F48"/>
    <w:rsid w:val="00452D50"/>
    <w:rsid w:val="00491D1F"/>
    <w:rsid w:val="005E39D0"/>
    <w:rsid w:val="005E55DE"/>
    <w:rsid w:val="00A320E5"/>
    <w:rsid w:val="00A32329"/>
    <w:rsid w:val="00A76660"/>
    <w:rsid w:val="00B075C2"/>
    <w:rsid w:val="00B3226E"/>
    <w:rsid w:val="00B57621"/>
    <w:rsid w:val="00BC7D96"/>
    <w:rsid w:val="00C65B43"/>
    <w:rsid w:val="00D03A85"/>
    <w:rsid w:val="00E15DAF"/>
    <w:rsid w:val="00E45354"/>
    <w:rsid w:val="00F8326C"/>
    <w:rsid w:val="00F97496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EDC7"/>
  <w15:docId w15:val="{266E3EF5-3AA7-4D9A-B834-90B5D058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66D9-C2D9-46C3-9C5A-2AA8FBE6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15</cp:revision>
  <cp:lastPrinted>2022-05-05T09:18:00Z</cp:lastPrinted>
  <dcterms:created xsi:type="dcterms:W3CDTF">2022-04-28T05:36:00Z</dcterms:created>
  <dcterms:modified xsi:type="dcterms:W3CDTF">2024-05-16T07:06:00Z</dcterms:modified>
</cp:coreProperties>
</file>