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931F02">
        <w:rPr>
          <w:rFonts w:ascii="Verdana" w:hAnsi="Verdana" w:cs="Arial"/>
        </w:rPr>
        <w:t>9257</w:t>
      </w:r>
      <w:r w:rsidR="00931F02">
        <w:rPr>
          <w:rFonts w:ascii="Verdana" w:hAnsi="Verdana" w:cs="Arial"/>
        </w:rPr>
        <w:t>/23-0623</w:t>
      </w:r>
    </w:p>
    <w:tbl>
      <w:tblPr>
        <w:tblpPr w:leftFromText="180" w:rightFromText="180" w:vertAnchor="page" w:horzAnchor="margin" w:tblpY="6841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316"/>
        <w:gridCol w:w="1156"/>
        <w:gridCol w:w="1373"/>
        <w:gridCol w:w="1511"/>
        <w:gridCol w:w="1416"/>
      </w:tblGrid>
      <w:tr w:rsidR="00931F02" w:rsidRPr="00931F02" w:rsidTr="00931F02">
        <w:trPr>
          <w:trHeight w:val="405"/>
        </w:trPr>
        <w:tc>
          <w:tcPr>
            <w:tcW w:w="66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31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15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37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Ποσότ.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Τ.Μ.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Δαπάνη (ΕΥΡΩ)</w:t>
            </w:r>
          </w:p>
        </w:tc>
      </w:tr>
      <w:tr w:rsidR="00931F02" w:rsidRPr="00931F02" w:rsidTr="00931F02">
        <w:trPr>
          <w:trHeight w:val="315"/>
        </w:trPr>
        <w:tc>
          <w:tcPr>
            <w:tcW w:w="665" w:type="dxa"/>
            <w:vMerge/>
            <w:shd w:val="clear" w:color="auto" w:fill="D9D9D9" w:themeFill="background1" w:themeFillShade="D9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16" w:type="dxa"/>
            <w:vMerge/>
            <w:shd w:val="clear" w:color="auto" w:fill="D9D9D9" w:themeFill="background1" w:themeFillShade="D9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D9D9D9" w:themeFill="background1" w:themeFillShade="D9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9D9D9" w:themeFill="background1" w:themeFillShade="D9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Μερική Δαπάνη</w:t>
            </w:r>
          </w:p>
        </w:tc>
      </w:tr>
      <w:tr w:rsidR="00931F02" w:rsidRPr="00931F02" w:rsidTr="00931F02">
        <w:trPr>
          <w:trHeight w:val="255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ΣΩΛΗΝΕΣ  Φ42 ΓΑΛΒΑΝΙΖΕ 6 μετρες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ΤΕΜ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284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18,15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5154,60</w:t>
            </w:r>
          </w:p>
        </w:tc>
      </w:tr>
      <w:tr w:rsidR="00931F02" w:rsidRPr="00931F02" w:rsidTr="00931F02">
        <w:trPr>
          <w:trHeight w:val="255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ΣΤΡΑΝΤΖΟ ΜΑΥΡΟ  Β.Τ 40Χ60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ΤΕΜ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40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sz w:val="20"/>
                <w:szCs w:val="20"/>
              </w:rPr>
              <w:t>22,18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887,20</w:t>
            </w:r>
          </w:p>
        </w:tc>
      </w:tr>
      <w:tr w:rsidR="00931F02" w:rsidRPr="00931F02" w:rsidTr="00931F02">
        <w:trPr>
          <w:trHeight w:val="255"/>
        </w:trPr>
        <w:tc>
          <w:tcPr>
            <w:tcW w:w="902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6.041,80</w:t>
            </w:r>
          </w:p>
        </w:tc>
      </w:tr>
      <w:tr w:rsidR="00931F02" w:rsidRPr="00931F02" w:rsidTr="00931F02">
        <w:trPr>
          <w:trHeight w:val="255"/>
        </w:trPr>
        <w:tc>
          <w:tcPr>
            <w:tcW w:w="902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ΦΠΑ (24%)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1.450,04</w:t>
            </w:r>
          </w:p>
        </w:tc>
      </w:tr>
      <w:tr w:rsidR="00931F02" w:rsidRPr="00931F02" w:rsidTr="00931F02">
        <w:trPr>
          <w:trHeight w:val="255"/>
        </w:trPr>
        <w:tc>
          <w:tcPr>
            <w:tcW w:w="902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ΣΥΝΟΛΙΚΗ ΔΑΠΑΝΗ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931F02" w:rsidRPr="00931F02" w:rsidRDefault="00931F02" w:rsidP="00931F0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F02">
              <w:rPr>
                <w:rFonts w:ascii="Verdana" w:hAnsi="Verdana"/>
                <w:b/>
                <w:bCs/>
                <w:sz w:val="20"/>
                <w:szCs w:val="20"/>
              </w:rPr>
              <w:t>7.491,84</w:t>
            </w:r>
          </w:p>
        </w:tc>
      </w:tr>
    </w:tbl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931F02">
        <w:rPr>
          <w:rFonts w:ascii="Verdana" w:hAnsi="Verdana" w:cs="Arial"/>
        </w:rPr>
        <w:t>9257/23-0623</w:t>
      </w:r>
      <w:r w:rsidR="00931F02">
        <w:rPr>
          <w:rFonts w:ascii="Verdana" w:hAnsi="Verdana"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65" w:rsidRDefault="00292565">
      <w:pPr>
        <w:spacing w:after="0" w:line="240" w:lineRule="auto"/>
      </w:pPr>
      <w:r>
        <w:separator/>
      </w:r>
    </w:p>
  </w:endnote>
  <w:endnote w:type="continuationSeparator" w:id="0">
    <w:p w:rsidR="00292565" w:rsidRDefault="0029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292565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1F02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292565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65" w:rsidRDefault="00292565">
      <w:pPr>
        <w:spacing w:after="0" w:line="240" w:lineRule="auto"/>
      </w:pPr>
      <w:r>
        <w:separator/>
      </w:r>
    </w:p>
  </w:footnote>
  <w:footnote w:type="continuationSeparator" w:id="0">
    <w:p w:rsidR="00292565" w:rsidRDefault="0029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2925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5117FC"/>
    <w:rsid w:val="0086763F"/>
    <w:rsid w:val="008D232B"/>
    <w:rsid w:val="00931F02"/>
    <w:rsid w:val="00A64882"/>
    <w:rsid w:val="00C96EA1"/>
    <w:rsid w:val="00D058ED"/>
    <w:rsid w:val="00D25969"/>
    <w:rsid w:val="00DA7DEB"/>
    <w:rsid w:val="00E305C7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A56E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13</cp:revision>
  <dcterms:created xsi:type="dcterms:W3CDTF">2022-05-19T10:09:00Z</dcterms:created>
  <dcterms:modified xsi:type="dcterms:W3CDTF">2023-06-23T07:35:00Z</dcterms:modified>
</cp:coreProperties>
</file>