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FF6786">
        <w:rPr>
          <w:rFonts w:ascii="Verdana" w:hAnsi="Verdana"/>
          <w:b/>
          <w:sz w:val="20"/>
          <w:szCs w:val="20"/>
        </w:rPr>
        <w:t>4411</w:t>
      </w:r>
      <w:r w:rsidR="00A76660">
        <w:rPr>
          <w:rFonts w:ascii="Verdana" w:hAnsi="Verdana"/>
          <w:b/>
          <w:sz w:val="20"/>
          <w:szCs w:val="20"/>
        </w:rPr>
        <w:t>/28-03-2023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FF6786">
        <w:rPr>
          <w:rFonts w:ascii="Verdana" w:hAnsi="Verdana"/>
          <w:b/>
          <w:sz w:val="20"/>
          <w:szCs w:val="20"/>
        </w:rPr>
        <w:t>4411</w:t>
      </w:r>
      <w:r w:rsidR="00A76660">
        <w:rPr>
          <w:rFonts w:ascii="Verdana" w:hAnsi="Verdana"/>
          <w:b/>
          <w:sz w:val="20"/>
          <w:szCs w:val="20"/>
        </w:rPr>
        <w:t xml:space="preserve">/28-03-2023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2. Το συνολικό ποσό της προσφοράς αναλύεται στο</w:t>
      </w:r>
      <w:bookmarkStart w:id="0" w:name="_GoBack"/>
      <w:bookmarkEnd w:id="0"/>
      <w:r w:rsidRPr="00A52C02">
        <w:rPr>
          <w:rFonts w:ascii="Verdana" w:hAnsi="Verdana"/>
          <w:sz w:val="20"/>
          <w:szCs w:val="20"/>
        </w:rPr>
        <w:t xml:space="preserve">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620"/>
        <w:gridCol w:w="1500"/>
        <w:gridCol w:w="948"/>
        <w:gridCol w:w="950"/>
        <w:gridCol w:w="1519"/>
      </w:tblGrid>
      <w:tr w:rsidR="00FF6786" w:rsidRPr="00FF6786" w:rsidTr="00FF6786">
        <w:trPr>
          <w:trHeight w:val="414"/>
          <w:jc w:val="center"/>
        </w:trPr>
        <w:tc>
          <w:tcPr>
            <w:tcW w:w="526" w:type="dxa"/>
            <w:vMerge w:val="restart"/>
          </w:tcPr>
          <w:p w:rsidR="00FF6786" w:rsidRPr="00FF6786" w:rsidRDefault="00FF6786" w:rsidP="00FF6786">
            <w:pPr>
              <w:rPr>
                <w:rFonts w:ascii="Arial" w:eastAsia="Arial" w:hAnsi="Arial" w:cs="Arial"/>
                <w:b/>
                <w:sz w:val="27"/>
              </w:rPr>
            </w:pPr>
          </w:p>
          <w:p w:rsidR="00FF6786" w:rsidRPr="00FF6786" w:rsidRDefault="00FF6786" w:rsidP="00FF6786">
            <w:pPr>
              <w:ind w:left="107"/>
              <w:rPr>
                <w:rFonts w:ascii="Arial" w:eastAsia="Arial" w:hAnsi="Arial" w:cs="Arial"/>
                <w:b/>
                <w:sz w:val="18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Α/Α</w:t>
            </w:r>
          </w:p>
        </w:tc>
        <w:tc>
          <w:tcPr>
            <w:tcW w:w="4620" w:type="dxa"/>
            <w:vMerge w:val="restart"/>
          </w:tcPr>
          <w:p w:rsidR="00FF6786" w:rsidRPr="00FF6786" w:rsidRDefault="00FF6786" w:rsidP="00FF6786">
            <w:pPr>
              <w:rPr>
                <w:rFonts w:ascii="Arial" w:eastAsia="Arial" w:hAnsi="Arial" w:cs="Arial"/>
                <w:b/>
                <w:sz w:val="27"/>
              </w:rPr>
            </w:pPr>
          </w:p>
          <w:p w:rsidR="00FF6786" w:rsidRPr="00FF6786" w:rsidRDefault="00FF6786" w:rsidP="00FF6786">
            <w:pPr>
              <w:ind w:left="2013" w:right="2008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ΕΙΔΟΣ</w:t>
            </w:r>
          </w:p>
        </w:tc>
        <w:tc>
          <w:tcPr>
            <w:tcW w:w="1500" w:type="dxa"/>
            <w:vMerge w:val="restart"/>
          </w:tcPr>
          <w:p w:rsidR="00FF6786" w:rsidRPr="00FF6786" w:rsidRDefault="00FF6786" w:rsidP="00FF6786">
            <w:pPr>
              <w:rPr>
                <w:rFonts w:ascii="Arial" w:eastAsia="Arial" w:hAnsi="Arial" w:cs="Arial"/>
                <w:b/>
                <w:sz w:val="27"/>
              </w:rPr>
            </w:pPr>
          </w:p>
          <w:p w:rsidR="00FF6786" w:rsidRPr="00FF6786" w:rsidRDefault="00FF6786" w:rsidP="00FF6786">
            <w:pPr>
              <w:ind w:left="524" w:right="516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Μον.</w:t>
            </w:r>
          </w:p>
        </w:tc>
        <w:tc>
          <w:tcPr>
            <w:tcW w:w="948" w:type="dxa"/>
            <w:vMerge w:val="restart"/>
          </w:tcPr>
          <w:p w:rsidR="00FF6786" w:rsidRPr="00FF6786" w:rsidRDefault="00FF6786" w:rsidP="00FF6786">
            <w:pPr>
              <w:rPr>
                <w:rFonts w:ascii="Arial" w:eastAsia="Arial" w:hAnsi="Arial" w:cs="Arial"/>
                <w:b/>
                <w:sz w:val="27"/>
              </w:rPr>
            </w:pPr>
          </w:p>
          <w:p w:rsidR="00FF6786" w:rsidRPr="00FF6786" w:rsidRDefault="00FF6786" w:rsidP="00FF6786">
            <w:pPr>
              <w:ind w:left="171"/>
              <w:rPr>
                <w:rFonts w:ascii="Arial" w:eastAsia="Arial" w:hAnsi="Arial" w:cs="Arial"/>
                <w:b/>
                <w:sz w:val="18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Ποσότ.</w:t>
            </w:r>
          </w:p>
        </w:tc>
        <w:tc>
          <w:tcPr>
            <w:tcW w:w="950" w:type="dxa"/>
            <w:vMerge w:val="restart"/>
          </w:tcPr>
          <w:p w:rsidR="00FF6786" w:rsidRPr="00FF6786" w:rsidRDefault="00FF6786" w:rsidP="00FF6786">
            <w:pPr>
              <w:rPr>
                <w:rFonts w:ascii="Arial" w:eastAsia="Arial" w:hAnsi="Arial" w:cs="Arial"/>
                <w:b/>
                <w:sz w:val="27"/>
              </w:rPr>
            </w:pPr>
          </w:p>
          <w:p w:rsidR="00FF6786" w:rsidRPr="00FF6786" w:rsidRDefault="00FF6786" w:rsidP="00FF6786">
            <w:pPr>
              <w:ind w:left="293"/>
              <w:rPr>
                <w:rFonts w:ascii="Arial" w:eastAsia="Arial" w:hAnsi="Arial" w:cs="Arial"/>
                <w:b/>
                <w:sz w:val="18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Τ.Μ.</w:t>
            </w:r>
          </w:p>
        </w:tc>
        <w:tc>
          <w:tcPr>
            <w:tcW w:w="1519" w:type="dxa"/>
          </w:tcPr>
          <w:p w:rsidR="00FF6786" w:rsidRPr="00FF6786" w:rsidRDefault="00FF6786" w:rsidP="00FF6786">
            <w:pPr>
              <w:spacing w:line="201" w:lineRule="exact"/>
              <w:ind w:left="410"/>
              <w:rPr>
                <w:rFonts w:ascii="Arial" w:eastAsia="Arial" w:hAnsi="Arial" w:cs="Arial"/>
                <w:b/>
                <w:sz w:val="18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Δαπάνη</w:t>
            </w:r>
          </w:p>
          <w:p w:rsidR="00FF6786" w:rsidRPr="00FF6786" w:rsidRDefault="00FF6786" w:rsidP="00FF6786">
            <w:pPr>
              <w:spacing w:before="2" w:line="192" w:lineRule="exact"/>
              <w:ind w:left="446"/>
              <w:rPr>
                <w:rFonts w:ascii="Arial" w:eastAsia="Arial" w:hAnsi="Arial" w:cs="Arial"/>
                <w:b/>
                <w:sz w:val="18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(ΕΥΡΩ)</w:t>
            </w:r>
          </w:p>
        </w:tc>
      </w:tr>
      <w:tr w:rsidR="00FF6786" w:rsidRPr="00FF6786" w:rsidTr="00FF6786">
        <w:trPr>
          <w:trHeight w:val="414"/>
          <w:jc w:val="center"/>
        </w:trPr>
        <w:tc>
          <w:tcPr>
            <w:tcW w:w="526" w:type="dxa"/>
            <w:vMerge/>
            <w:tcBorders>
              <w:top w:val="nil"/>
            </w:tcBorders>
          </w:tcPr>
          <w:p w:rsidR="00FF6786" w:rsidRPr="00FF6786" w:rsidRDefault="00FF6786" w:rsidP="00FF6786">
            <w:pPr>
              <w:rPr>
                <w:sz w:val="2"/>
                <w:szCs w:val="2"/>
              </w:rPr>
            </w:pPr>
          </w:p>
        </w:tc>
        <w:tc>
          <w:tcPr>
            <w:tcW w:w="4620" w:type="dxa"/>
            <w:vMerge/>
            <w:tcBorders>
              <w:top w:val="nil"/>
            </w:tcBorders>
          </w:tcPr>
          <w:p w:rsidR="00FF6786" w:rsidRPr="00FF6786" w:rsidRDefault="00FF6786" w:rsidP="00FF678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F6786" w:rsidRPr="00FF6786" w:rsidRDefault="00FF6786" w:rsidP="00FF6786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:rsidR="00FF6786" w:rsidRPr="00FF6786" w:rsidRDefault="00FF6786" w:rsidP="00FF6786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FF6786" w:rsidRPr="00FF6786" w:rsidRDefault="00FF6786" w:rsidP="00FF6786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FF6786" w:rsidRPr="00FF6786" w:rsidRDefault="00FF6786" w:rsidP="00FF6786">
            <w:pPr>
              <w:spacing w:line="201" w:lineRule="exact"/>
              <w:ind w:left="453"/>
              <w:rPr>
                <w:rFonts w:ascii="Arial" w:eastAsia="Arial" w:hAnsi="Arial" w:cs="Arial"/>
                <w:b/>
                <w:sz w:val="18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Μερική</w:t>
            </w:r>
          </w:p>
          <w:p w:rsidR="00FF6786" w:rsidRPr="00FF6786" w:rsidRDefault="00FF6786" w:rsidP="00FF6786">
            <w:pPr>
              <w:spacing w:line="194" w:lineRule="exact"/>
              <w:ind w:left="410"/>
              <w:rPr>
                <w:rFonts w:ascii="Arial" w:eastAsia="Arial" w:hAnsi="Arial" w:cs="Arial"/>
                <w:b/>
                <w:sz w:val="18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Δαπάνη</w:t>
            </w:r>
          </w:p>
        </w:tc>
      </w:tr>
      <w:tr w:rsidR="00FF6786" w:rsidRPr="00FF6786" w:rsidTr="00FF6786">
        <w:trPr>
          <w:trHeight w:val="950"/>
          <w:jc w:val="center"/>
        </w:trPr>
        <w:tc>
          <w:tcPr>
            <w:tcW w:w="526" w:type="dxa"/>
          </w:tcPr>
          <w:p w:rsidR="00FF6786" w:rsidRPr="00FF6786" w:rsidRDefault="00FF6786" w:rsidP="00FF6786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FF6786" w:rsidRPr="00FF6786" w:rsidRDefault="00FF6786" w:rsidP="00FF6786">
            <w:pPr>
              <w:spacing w:before="144"/>
              <w:ind w:left="6"/>
              <w:jc w:val="center"/>
              <w:rPr>
                <w:rFonts w:ascii="Microsoft Sans Serif" w:eastAsia="Arial" w:hAnsi="Arial" w:cs="Arial"/>
                <w:sz w:val="18"/>
              </w:rPr>
            </w:pPr>
            <w:r w:rsidRPr="00FF6786">
              <w:rPr>
                <w:rFonts w:ascii="Microsoft Sans Serif" w:eastAsia="Arial" w:hAnsi="Arial" w:cs="Arial"/>
                <w:sz w:val="18"/>
              </w:rPr>
              <w:t>1</w:t>
            </w:r>
          </w:p>
        </w:tc>
        <w:tc>
          <w:tcPr>
            <w:tcW w:w="4620" w:type="dxa"/>
          </w:tcPr>
          <w:p w:rsidR="00FF6786" w:rsidRPr="00FF6786" w:rsidRDefault="00FF6786" w:rsidP="00FF6786">
            <w:pPr>
              <w:ind w:left="107" w:right="56"/>
              <w:rPr>
                <w:rFonts w:ascii="Arial" w:eastAsia="Arial" w:hAnsi="Arial" w:cs="Arial"/>
                <w:b/>
                <w:sz w:val="16"/>
                <w:lang w:val="el-GR"/>
              </w:rPr>
            </w:pPr>
            <w:r w:rsidRPr="00FF6786">
              <w:rPr>
                <w:rFonts w:ascii="Arial" w:eastAsia="Arial" w:hAnsi="Arial" w:cs="Arial"/>
                <w:b/>
                <w:sz w:val="16"/>
                <w:lang w:val="el-GR"/>
              </w:rPr>
              <w:t>ΕΤΟΙΜΟ ΠΡΟΣ ΧΡΉΣΗΨΥΧΡΟ ΑΣΦΑΛΤΟΣΚΥΡΟΔΕΜΑΑΠΌ ΕΙΔΙΚΗΣ ΣΥΝΘΕΣΗΣ ΣΥΝΔΕΤΙΚΟ ΠΟΛΥΜΕΡΕΣΥΛΙΚΌ ΕΦΑΡΜΟΖΟΜΕΝΟ ΣΕ ΌΛΕΣ ΤΙΣ ΣΥΝΘΉΚΕΣ ΣΕΣΥΣΚΕΥΑΣΙΑ25ΧΛΓ</w:t>
            </w:r>
          </w:p>
        </w:tc>
        <w:tc>
          <w:tcPr>
            <w:tcW w:w="1500" w:type="dxa"/>
            <w:vAlign w:val="center"/>
          </w:tcPr>
          <w:p w:rsidR="00FF6786" w:rsidRPr="00FF6786" w:rsidRDefault="00FF6786" w:rsidP="00FF6786">
            <w:pPr>
              <w:spacing w:before="157"/>
              <w:ind w:left="291" w:right="280"/>
              <w:jc w:val="center"/>
              <w:rPr>
                <w:rFonts w:ascii="Arial" w:eastAsia="Arial" w:hAnsi="Arial" w:cs="Arial"/>
                <w:b/>
                <w:spacing w:val="-1"/>
                <w:sz w:val="18"/>
              </w:rPr>
            </w:pPr>
            <w:r w:rsidRPr="00FF6786">
              <w:rPr>
                <w:rFonts w:ascii="Arial" w:eastAsia="Arial" w:hAnsi="Arial" w:cs="Arial"/>
                <w:b/>
                <w:spacing w:val="-1"/>
                <w:sz w:val="18"/>
              </w:rPr>
              <w:t>ΣΑΚΚΟΣ</w:t>
            </w:r>
          </w:p>
          <w:p w:rsidR="00FF6786" w:rsidRPr="00FF6786" w:rsidRDefault="00FF6786" w:rsidP="00FF6786">
            <w:pPr>
              <w:spacing w:before="157"/>
              <w:ind w:left="291" w:right="28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25ΚΙΛΩΝ</w:t>
            </w:r>
          </w:p>
        </w:tc>
        <w:tc>
          <w:tcPr>
            <w:tcW w:w="948" w:type="dxa"/>
            <w:vAlign w:val="center"/>
          </w:tcPr>
          <w:p w:rsidR="00FF6786" w:rsidRPr="00FF6786" w:rsidRDefault="00FF6786" w:rsidP="00FF6786">
            <w:pPr>
              <w:spacing w:before="136"/>
              <w:ind w:left="78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5.538</w:t>
            </w:r>
          </w:p>
        </w:tc>
        <w:tc>
          <w:tcPr>
            <w:tcW w:w="950" w:type="dxa"/>
            <w:vAlign w:val="center"/>
          </w:tcPr>
          <w:p w:rsidR="00FF6786" w:rsidRPr="00FF6786" w:rsidRDefault="00FF6786" w:rsidP="00FF6786">
            <w:pPr>
              <w:spacing w:before="136"/>
              <w:ind w:left="122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19" w:type="dxa"/>
            <w:vAlign w:val="center"/>
          </w:tcPr>
          <w:p w:rsidR="00FF6786" w:rsidRPr="00FF6786" w:rsidRDefault="00FF6786" w:rsidP="00FF6786">
            <w:pPr>
              <w:spacing w:before="136"/>
              <w:ind w:right="9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FF6786" w:rsidRPr="00FF6786" w:rsidTr="00FF6786">
        <w:trPr>
          <w:trHeight w:val="253"/>
          <w:jc w:val="center"/>
        </w:trPr>
        <w:tc>
          <w:tcPr>
            <w:tcW w:w="8544" w:type="dxa"/>
            <w:gridSpan w:val="5"/>
          </w:tcPr>
          <w:p w:rsidR="00FF6786" w:rsidRPr="00FF6786" w:rsidRDefault="00FF6786" w:rsidP="00FF6786">
            <w:pPr>
              <w:jc w:val="right"/>
              <w:rPr>
                <w:rFonts w:eastAsia="Arial" w:hAnsi="Arial" w:cs="Arial"/>
                <w:sz w:val="16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Σύνολο</w:t>
            </w:r>
          </w:p>
        </w:tc>
        <w:tc>
          <w:tcPr>
            <w:tcW w:w="1519" w:type="dxa"/>
          </w:tcPr>
          <w:p w:rsidR="00FF6786" w:rsidRPr="00FF6786" w:rsidRDefault="00FF6786" w:rsidP="00FF6786">
            <w:pPr>
              <w:spacing w:before="18"/>
              <w:ind w:right="9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FF6786" w:rsidRPr="00FF6786" w:rsidTr="00FF6786">
        <w:trPr>
          <w:trHeight w:val="254"/>
          <w:jc w:val="center"/>
        </w:trPr>
        <w:tc>
          <w:tcPr>
            <w:tcW w:w="8544" w:type="dxa"/>
            <w:gridSpan w:val="5"/>
          </w:tcPr>
          <w:p w:rsidR="00FF6786" w:rsidRPr="00FF6786" w:rsidRDefault="00FF6786" w:rsidP="00FF6786">
            <w:pPr>
              <w:jc w:val="right"/>
              <w:rPr>
                <w:rFonts w:eastAsia="Arial" w:hAnsi="Arial" w:cs="Arial"/>
                <w:sz w:val="16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ΦΠΑ 24%</w:t>
            </w:r>
          </w:p>
        </w:tc>
        <w:tc>
          <w:tcPr>
            <w:tcW w:w="1519" w:type="dxa"/>
          </w:tcPr>
          <w:p w:rsidR="00FF6786" w:rsidRPr="00FF6786" w:rsidRDefault="00FF6786" w:rsidP="00FF6786">
            <w:pPr>
              <w:spacing w:before="18"/>
              <w:ind w:right="94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FF6786" w:rsidRPr="00FF6786" w:rsidTr="00FF6786">
        <w:trPr>
          <w:trHeight w:val="256"/>
          <w:jc w:val="center"/>
        </w:trPr>
        <w:tc>
          <w:tcPr>
            <w:tcW w:w="8544" w:type="dxa"/>
            <w:gridSpan w:val="5"/>
          </w:tcPr>
          <w:p w:rsidR="00FF6786" w:rsidRPr="00FF6786" w:rsidRDefault="00FF6786" w:rsidP="00FF6786">
            <w:pPr>
              <w:jc w:val="right"/>
              <w:rPr>
                <w:rFonts w:eastAsia="Arial" w:hAnsi="Arial" w:cs="Arial"/>
                <w:sz w:val="16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Άθροισμα</w:t>
            </w:r>
          </w:p>
        </w:tc>
        <w:tc>
          <w:tcPr>
            <w:tcW w:w="1519" w:type="dxa"/>
          </w:tcPr>
          <w:p w:rsidR="00FF6786" w:rsidRPr="00FF6786" w:rsidRDefault="00FF6786" w:rsidP="00FF6786">
            <w:pPr>
              <w:spacing w:before="20"/>
              <w:ind w:right="9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</w:tbl>
    <w:p w:rsidR="00A76660" w:rsidRPr="002E0477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A766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59C" w:rsidRDefault="0022759C" w:rsidP="00A32329">
      <w:pPr>
        <w:spacing w:after="0" w:line="240" w:lineRule="auto"/>
      </w:pPr>
      <w:r>
        <w:separator/>
      </w:r>
    </w:p>
  </w:endnote>
  <w:endnote w:type="continuationSeparator" w:id="0">
    <w:p w:rsidR="0022759C" w:rsidRDefault="0022759C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6786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59C" w:rsidRDefault="0022759C" w:rsidP="00A32329">
      <w:pPr>
        <w:spacing w:after="0" w:line="240" w:lineRule="auto"/>
      </w:pPr>
      <w:r>
        <w:separator/>
      </w:r>
    </w:p>
  </w:footnote>
  <w:footnote w:type="continuationSeparator" w:id="0">
    <w:p w:rsidR="0022759C" w:rsidRDefault="0022759C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447F48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447F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1D6F21"/>
    <w:rsid w:val="0022759C"/>
    <w:rsid w:val="00270290"/>
    <w:rsid w:val="002E0477"/>
    <w:rsid w:val="00447F48"/>
    <w:rsid w:val="00491D1F"/>
    <w:rsid w:val="005E39D0"/>
    <w:rsid w:val="00A320E5"/>
    <w:rsid w:val="00A32329"/>
    <w:rsid w:val="00A76660"/>
    <w:rsid w:val="00B075C2"/>
    <w:rsid w:val="00B3226E"/>
    <w:rsid w:val="00BC7D96"/>
    <w:rsid w:val="00D03A85"/>
    <w:rsid w:val="00E15DAF"/>
    <w:rsid w:val="00E45354"/>
    <w:rsid w:val="00F8326C"/>
    <w:rsid w:val="00F97496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5D40"/>
  <w15:docId w15:val="{DA3C77C7-E78E-477C-9A58-7D7DE0C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67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11</cp:revision>
  <cp:lastPrinted>2022-05-05T09:18:00Z</cp:lastPrinted>
  <dcterms:created xsi:type="dcterms:W3CDTF">2022-04-28T05:36:00Z</dcterms:created>
  <dcterms:modified xsi:type="dcterms:W3CDTF">2023-03-28T08:58:00Z</dcterms:modified>
</cp:coreProperties>
</file>